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5A3CCE" w14:textId="2E7D8E82" w:rsidR="009C3064" w:rsidRPr="007A395D" w:rsidRDefault="009C3064" w:rsidP="009C3064">
      <w:pPr>
        <w:pStyle w:val="Header"/>
        <w:tabs>
          <w:tab w:val="right" w:pos="5954"/>
        </w:tabs>
        <w:spacing w:after="240"/>
        <w:jc w:val="right"/>
        <w:rPr>
          <w:rFonts w:ascii="Calibri" w:hAnsi="Calibri"/>
        </w:rPr>
      </w:pPr>
      <w:r w:rsidRPr="007A395D">
        <w:rPr>
          <w:rFonts w:ascii="Calibri" w:hAnsi="Calibri"/>
        </w:rPr>
        <w:t xml:space="preserve">Input paper: </w:t>
      </w:r>
      <w:r w:rsidRPr="007A395D">
        <w:rPr>
          <w:rStyle w:val="FootnoteReference"/>
          <w:rFonts w:ascii="Calibri" w:hAnsi="Calibri"/>
          <w:vertAlign w:val="superscript"/>
        </w:rPr>
        <w:footnoteReference w:id="1"/>
      </w:r>
      <w:r w:rsidRPr="007A395D">
        <w:rPr>
          <w:rFonts w:ascii="Calibri" w:hAnsi="Calibri"/>
        </w:rPr>
        <w:t xml:space="preserve">  </w:t>
      </w:r>
      <w:r w:rsidR="00440F4D">
        <w:rPr>
          <w:rFonts w:ascii="Calibri" w:hAnsi="Calibri"/>
        </w:rPr>
        <w:t>ENG</w:t>
      </w:r>
      <w:r w:rsidR="005A3A87">
        <w:rPr>
          <w:rFonts w:ascii="Calibri" w:hAnsi="Calibri"/>
        </w:rPr>
        <w:t>9</w:t>
      </w:r>
      <w:r w:rsidR="00892894" w:rsidRPr="00FB008B">
        <w:rPr>
          <w:rFonts w:ascii="Calibri" w:hAnsi="Calibri"/>
        </w:rPr>
        <w:t>-</w:t>
      </w:r>
      <w:r w:rsidR="00FB008B" w:rsidRPr="00FB008B">
        <w:rPr>
          <w:rFonts w:ascii="Calibri" w:hAnsi="Calibri"/>
        </w:rPr>
        <w:t>5.3</w:t>
      </w:r>
    </w:p>
    <w:p w14:paraId="6351850B" w14:textId="77777777" w:rsidR="00292013" w:rsidRDefault="00292013" w:rsidP="009C3064">
      <w:pPr>
        <w:pStyle w:val="BodyText"/>
      </w:pPr>
    </w:p>
    <w:p w14:paraId="31FF7460" w14:textId="271ECAA9" w:rsidR="009C3064" w:rsidRPr="007A395D" w:rsidRDefault="009C3064" w:rsidP="009C3064">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3020601E" w14:textId="1B9E18B6" w:rsidR="009C3064" w:rsidRPr="007A395D" w:rsidRDefault="00440F4D" w:rsidP="009C3064">
      <w:pPr>
        <w:pStyle w:val="BodyText"/>
        <w:rPr>
          <w:b/>
        </w:rPr>
      </w:pPr>
      <w:proofErr w:type="gramStart"/>
      <w:r w:rsidRPr="007A395D">
        <w:rPr>
          <w:b/>
        </w:rPr>
        <w:t>□</w:t>
      </w:r>
      <w:r w:rsidR="009C3064" w:rsidRPr="007A395D">
        <w:t xml:space="preserve">  ARM</w:t>
      </w:r>
      <w:proofErr w:type="gramEnd"/>
      <w:r w:rsidR="009C3064" w:rsidRPr="007A395D">
        <w:tab/>
      </w:r>
      <w:r w:rsidR="009C3064">
        <w:tab/>
      </w:r>
      <w:r>
        <w:rPr>
          <w:b/>
        </w:rPr>
        <w:t>X</w:t>
      </w:r>
      <w:r w:rsidR="009C3064" w:rsidRPr="007A395D">
        <w:t xml:space="preserve">  ENG</w:t>
      </w:r>
      <w:r w:rsidR="009C3064" w:rsidRPr="007A395D">
        <w:tab/>
      </w:r>
      <w:r w:rsidR="009C3064" w:rsidRPr="007A395D">
        <w:tab/>
      </w:r>
      <w:r w:rsidR="009C3064" w:rsidRPr="007A395D">
        <w:rPr>
          <w:b/>
        </w:rPr>
        <w:t>□</w:t>
      </w:r>
      <w:r w:rsidR="009C3064" w:rsidRPr="007A395D">
        <w:t xml:space="preserve">  PAP</w:t>
      </w:r>
      <w:r w:rsidR="009C3064" w:rsidRPr="007A395D">
        <w:tab/>
      </w:r>
      <w:r w:rsidR="009C3064" w:rsidRPr="007A395D">
        <w:tab/>
      </w:r>
      <w:r w:rsidR="009C3064" w:rsidRPr="007A395D">
        <w:tab/>
      </w:r>
      <w:r w:rsidR="009C3064" w:rsidRPr="007A395D">
        <w:tab/>
      </w:r>
      <w:r w:rsidR="009C3064" w:rsidRPr="007A395D">
        <w:tab/>
      </w:r>
      <w:r w:rsidR="009C3064">
        <w:tab/>
      </w:r>
      <w:r w:rsidR="00892894" w:rsidRPr="007A395D">
        <w:rPr>
          <w:b/>
        </w:rPr>
        <w:t>□</w:t>
      </w:r>
      <w:r w:rsidR="009C3064" w:rsidRPr="007A395D">
        <w:t xml:space="preserve">  Input</w:t>
      </w:r>
    </w:p>
    <w:p w14:paraId="65143630" w14:textId="7A82A2E5" w:rsidR="009C3064" w:rsidRPr="007A395D" w:rsidRDefault="009C3064" w:rsidP="009C3064">
      <w:pPr>
        <w:pStyle w:val="BodyText"/>
      </w:pPr>
      <w:proofErr w:type="gramStart"/>
      <w:r w:rsidRPr="007A395D">
        <w:rPr>
          <w:b/>
        </w:rPr>
        <w:t>□</w:t>
      </w:r>
      <w:r w:rsidRPr="007A395D">
        <w:t xml:space="preserve">  ENAV</w:t>
      </w:r>
      <w:proofErr w:type="gramEnd"/>
      <w:r w:rsidRPr="007A395D">
        <w:rPr>
          <w:b/>
        </w:rPr>
        <w:tab/>
        <w:t>□</w:t>
      </w:r>
      <w:r w:rsidRPr="007A395D">
        <w:t xml:space="preserve">  VTS</w:t>
      </w:r>
      <w:r w:rsidRPr="007A395D">
        <w:tab/>
      </w:r>
      <w:r w:rsidRPr="007A395D">
        <w:tab/>
      </w:r>
      <w:r w:rsidRPr="007A395D">
        <w:tab/>
      </w:r>
      <w:r w:rsidRPr="007A395D">
        <w:tab/>
      </w:r>
      <w:r w:rsidRPr="007A395D">
        <w:tab/>
      </w:r>
      <w:r w:rsidRPr="007A395D">
        <w:tab/>
      </w:r>
      <w:r w:rsidRPr="007A395D">
        <w:tab/>
      </w:r>
      <w:r>
        <w:tab/>
      </w:r>
      <w:r w:rsidR="00892894">
        <w:rPr>
          <w:b/>
        </w:rPr>
        <w:t>X</w:t>
      </w:r>
      <w:r w:rsidRPr="007A395D">
        <w:t xml:space="preserve">  Information</w:t>
      </w:r>
    </w:p>
    <w:p w14:paraId="65B2958C" w14:textId="19767252" w:rsidR="00892894" w:rsidRDefault="00892894" w:rsidP="009C3064">
      <w:pPr>
        <w:pStyle w:val="BodyText"/>
      </w:pPr>
    </w:p>
    <w:p w14:paraId="700C68D6" w14:textId="77777777" w:rsidR="00292013" w:rsidRDefault="00292013" w:rsidP="009C3064">
      <w:pPr>
        <w:pStyle w:val="BodyText"/>
      </w:pPr>
    </w:p>
    <w:p w14:paraId="014191FD" w14:textId="02E48C6C" w:rsidR="009C3064" w:rsidRPr="007A395D" w:rsidRDefault="009C3064" w:rsidP="009C3064">
      <w:pPr>
        <w:pStyle w:val="BodyText"/>
      </w:pPr>
      <w:r w:rsidRPr="007A395D">
        <w:t xml:space="preserve">Agenda item </w:t>
      </w:r>
      <w:r w:rsidRPr="007A395D">
        <w:rPr>
          <w:rStyle w:val="FootnoteReference"/>
          <w:vertAlign w:val="superscript"/>
        </w:rPr>
        <w:footnoteReference w:id="2"/>
      </w:r>
      <w:r w:rsidRPr="007A395D">
        <w:tab/>
      </w:r>
      <w:r>
        <w:t>(from agenda)</w:t>
      </w:r>
      <w:r>
        <w:tab/>
      </w:r>
      <w:r w:rsidR="00FC378A">
        <w:tab/>
      </w:r>
      <w:r w:rsidR="00FC378A">
        <w:tab/>
      </w:r>
      <w:r w:rsidR="00FB008B">
        <w:t xml:space="preserve">5.3 </w:t>
      </w:r>
      <w:r w:rsidR="00B51082">
        <w:t>(15 min p</w:t>
      </w:r>
      <w:r w:rsidR="00FB008B">
        <w:t>resentation</w:t>
      </w:r>
      <w:r w:rsidR="00B51082">
        <w:t xml:space="preserve"> in plenary</w:t>
      </w:r>
      <w:bookmarkStart w:id="0" w:name="_GoBack"/>
      <w:bookmarkEnd w:id="0"/>
      <w:r w:rsidR="00FB008B">
        <w:t>)</w:t>
      </w:r>
    </w:p>
    <w:p w14:paraId="4B8A5866" w14:textId="0737B6C5" w:rsidR="009C3064" w:rsidRDefault="009C3064" w:rsidP="009C3064">
      <w:pPr>
        <w:pStyle w:val="BodyText"/>
      </w:pPr>
      <w:r>
        <w:t xml:space="preserve">Workplan </w:t>
      </w:r>
      <w:r w:rsidRPr="007A395D">
        <w:t>Task Number</w:t>
      </w:r>
      <w:r w:rsidRPr="007A395D">
        <w:rPr>
          <w:vertAlign w:val="superscript"/>
        </w:rPr>
        <w:t>2</w:t>
      </w:r>
      <w:r w:rsidRPr="007A395D">
        <w:tab/>
      </w:r>
      <w:r w:rsidR="00440F4D">
        <w:tab/>
      </w:r>
      <w:r w:rsidR="00FB008B">
        <w:tab/>
        <w:t>Not applicable</w:t>
      </w:r>
    </w:p>
    <w:p w14:paraId="156E1175" w14:textId="1DA1D0F7" w:rsidR="009C3064" w:rsidRPr="007A395D" w:rsidRDefault="009C3064" w:rsidP="009C3064">
      <w:pPr>
        <w:pStyle w:val="BodyText"/>
      </w:pPr>
      <w:r>
        <w:t>Working Group</w:t>
      </w:r>
      <w:r>
        <w:tab/>
      </w:r>
      <w:r>
        <w:tab/>
      </w:r>
      <w:r>
        <w:tab/>
      </w:r>
      <w:r>
        <w:tab/>
      </w:r>
      <w:r w:rsidR="00440F4D">
        <w:tab/>
      </w:r>
      <w:r w:rsidR="00FB008B">
        <w:t>Not applicable</w:t>
      </w:r>
    </w:p>
    <w:p w14:paraId="3AA0709F" w14:textId="22AB402D" w:rsidR="009C3064" w:rsidRPr="007A395D" w:rsidRDefault="009C3064" w:rsidP="009C3064">
      <w:pPr>
        <w:pStyle w:val="BodyText"/>
        <w:rPr>
          <w:color w:val="FF0000"/>
        </w:rPr>
      </w:pPr>
      <w:r w:rsidRPr="007A395D">
        <w:t>Author(s) / Submitter(s)</w:t>
      </w:r>
      <w:r w:rsidRPr="007A395D">
        <w:tab/>
      </w:r>
      <w:r w:rsidRPr="007A395D">
        <w:tab/>
      </w:r>
      <w:r w:rsidRPr="007A395D">
        <w:tab/>
      </w:r>
      <w:r>
        <w:tab/>
      </w:r>
      <w:r w:rsidR="00386478">
        <w:t xml:space="preserve">Glenn Nolan, </w:t>
      </w:r>
      <w:proofErr w:type="spellStart"/>
      <w:r w:rsidR="00386478">
        <w:t>EuroGOOS</w:t>
      </w:r>
      <w:proofErr w:type="spellEnd"/>
      <w:r w:rsidR="00386478">
        <w:t xml:space="preserve"> AISBL</w:t>
      </w:r>
    </w:p>
    <w:p w14:paraId="71EACC20" w14:textId="77777777" w:rsidR="00892894" w:rsidRPr="007A395D" w:rsidRDefault="00892894" w:rsidP="009C3064">
      <w:pPr>
        <w:pStyle w:val="BodyText"/>
      </w:pPr>
    </w:p>
    <w:p w14:paraId="759B79CB" w14:textId="7E72B8BB" w:rsidR="009C3064" w:rsidRPr="00CC2DCC" w:rsidRDefault="00E72A89" w:rsidP="009C3064">
      <w:pPr>
        <w:pStyle w:val="Title"/>
        <w:rPr>
          <w:color w:val="00558C"/>
        </w:rPr>
      </w:pPr>
      <w:r>
        <w:rPr>
          <w:color w:val="00558C"/>
        </w:rPr>
        <w:t xml:space="preserve">Building </w:t>
      </w:r>
      <w:r w:rsidR="00FB008B">
        <w:rPr>
          <w:color w:val="00558C"/>
        </w:rPr>
        <w:t>O</w:t>
      </w:r>
      <w:r w:rsidRPr="00E72A89">
        <w:rPr>
          <w:color w:val="00558C"/>
        </w:rPr>
        <w:t xml:space="preserve">cean </w:t>
      </w:r>
      <w:r w:rsidR="00FB008B">
        <w:rPr>
          <w:color w:val="00558C"/>
        </w:rPr>
        <w:t>O</w:t>
      </w:r>
      <w:r w:rsidRPr="00E72A89">
        <w:rPr>
          <w:color w:val="00558C"/>
        </w:rPr>
        <w:t xml:space="preserve">bserving </w:t>
      </w:r>
      <w:r w:rsidR="00FB008B">
        <w:rPr>
          <w:color w:val="00558C"/>
        </w:rPr>
        <w:t>C</w:t>
      </w:r>
      <w:r w:rsidRPr="00E72A89">
        <w:rPr>
          <w:color w:val="00558C"/>
        </w:rPr>
        <w:t xml:space="preserve">apacity </w:t>
      </w:r>
      <w:r w:rsidR="00FB008B">
        <w:rPr>
          <w:color w:val="00558C"/>
        </w:rPr>
        <w:t>U</w:t>
      </w:r>
      <w:r>
        <w:rPr>
          <w:color w:val="00558C"/>
        </w:rPr>
        <w:t xml:space="preserve">sing AtoN </w:t>
      </w:r>
      <w:r w:rsidR="00FB008B">
        <w:rPr>
          <w:color w:val="00558C"/>
        </w:rPr>
        <w:t>P</w:t>
      </w:r>
      <w:r>
        <w:rPr>
          <w:color w:val="00558C"/>
        </w:rPr>
        <w:t>latforms</w:t>
      </w:r>
    </w:p>
    <w:p w14:paraId="6CE9F208" w14:textId="67F28BB7" w:rsidR="00795569" w:rsidRDefault="00795569" w:rsidP="009A1DCF">
      <w:pPr>
        <w:pStyle w:val="Heading1"/>
        <w:ind w:left="357" w:hanging="357"/>
        <w:rPr>
          <w:b w:val="0"/>
        </w:rPr>
      </w:pPr>
      <w:r w:rsidRPr="00B64F35">
        <w:t>Introduction</w:t>
      </w:r>
    </w:p>
    <w:p w14:paraId="2AD5FCDA" w14:textId="5F0D0986" w:rsidR="00440F4D" w:rsidRDefault="004978B6" w:rsidP="00440F4D">
      <w:pPr>
        <w:jc w:val="both"/>
      </w:pPr>
      <w:r>
        <w:t xml:space="preserve">The </w:t>
      </w:r>
      <w:r w:rsidR="002F7E05">
        <w:t xml:space="preserve">Framework for Ocean Observing (2012) has specified the Essential Ocean Variables that should be measured to build a Global Ocean Observing System that delivers a wide range of societal benefits to users. These include parameters such as temperature, salinity, waves, currents and a wide array of biological and biogeochemical variables that are required to underpin decision support and policy making in all countries. Gathering oceanographic data can be an expensive proposition using technologies such as moored buoys, autonomous gliders and ship-based techniques. While considerable progress has been made with low-cost technologies that would allow developing countries establish an oceanographic measurement capability, ocean observing remains beyond the means of many countries that need to monitor their seas and oceans. The Intergovernmental Oceanographic Data Exchange (IODE) of IOC UNESCO identifies six main areas to address capacity building and transfer of marine technology; human capacity, physical infrastructure, strengthened regional mechanisms, ocean research policies, visibility and awareness and sustained resource mobilisation. </w:t>
      </w:r>
      <w:proofErr w:type="spellStart"/>
      <w:r w:rsidR="002F7E05">
        <w:t>EuroGOOS</w:t>
      </w:r>
      <w:proofErr w:type="spellEnd"/>
      <w:r w:rsidR="002F7E05">
        <w:t xml:space="preserve">/GOOS would like to explore the possibility of </w:t>
      </w:r>
      <w:bookmarkStart w:id="1" w:name="_Hlk2264473"/>
      <w:r w:rsidR="002F7E05">
        <w:t>utilising navigation platforms to build ocean observing capacity</w:t>
      </w:r>
      <w:bookmarkEnd w:id="1"/>
      <w:r w:rsidR="002F7E05">
        <w:t xml:space="preserve"> through the IALA global network.  </w:t>
      </w:r>
    </w:p>
    <w:p w14:paraId="78F507F2" w14:textId="683023CE" w:rsidR="00292013" w:rsidRDefault="00440F4D" w:rsidP="00292013">
      <w:pPr>
        <w:pStyle w:val="Heading1"/>
        <w:jc w:val="both"/>
      </w:pPr>
      <w:r>
        <w:t>DIscussion</w:t>
      </w:r>
    </w:p>
    <w:p w14:paraId="49CCC20E" w14:textId="3EA56221" w:rsidR="00440F4D" w:rsidRDefault="00FC5A1F" w:rsidP="00292013">
      <w:pPr>
        <w:jc w:val="both"/>
      </w:pPr>
      <w:r>
        <w:t xml:space="preserve">The current network of fixed marine platforms collecting some or all of the Essential Ocean Variables comprises approximately </w:t>
      </w:r>
      <w:r w:rsidR="001F13EC">
        <w:t>500</w:t>
      </w:r>
      <w:r>
        <w:t xml:space="preserve"> platfo</w:t>
      </w:r>
      <w:r w:rsidR="001F13EC">
        <w:t>r</w:t>
      </w:r>
      <w:r>
        <w:t xml:space="preserve">ms. Meanwhile, IALA members operate and maintain </w:t>
      </w:r>
      <w:r w:rsidR="00E72A89">
        <w:t xml:space="preserve">tens of thousands of </w:t>
      </w:r>
      <w:r>
        <w:t>Aid</w:t>
      </w:r>
      <w:r w:rsidR="00E72A89">
        <w:t>s</w:t>
      </w:r>
      <w:r>
        <w:t xml:space="preserve"> to Navigation (AtoN) platforms at the global scale that have the potential to make concurrent oceanographic measurements. There is also a regular review mechanism within IALA to assess the current fit for purpose and optimal location for AtoN. Irish Lights have implemented </w:t>
      </w:r>
      <w:proofErr w:type="spellStart"/>
      <w:r>
        <w:t>metocean</w:t>
      </w:r>
      <w:proofErr w:type="spellEnd"/>
      <w:r>
        <w:t xml:space="preserve"> data collection on several AtoN in recent years showing that valuable meteorological and oceanographic data can be collected and transmitted from AtoN to both maritime users to improve </w:t>
      </w:r>
      <w:r>
        <w:lastRenderedPageBreak/>
        <w:t xml:space="preserve">their situational awareness as they navigate safely and to weather forecasting agencies with a view to improving forecasts (through assimilation of the data into weather forecast models). The implementation has shown that the impact on the navigation platform’s power budget and core operations is not compromised significantly by collecting this additional </w:t>
      </w:r>
      <w:proofErr w:type="spellStart"/>
      <w:r>
        <w:t>metocean</w:t>
      </w:r>
      <w:proofErr w:type="spellEnd"/>
      <w:r>
        <w:t xml:space="preserve"> information. </w:t>
      </w:r>
      <w:proofErr w:type="spellStart"/>
      <w:r>
        <w:t>EuroGOOS</w:t>
      </w:r>
      <w:proofErr w:type="spellEnd"/>
      <w:r>
        <w:t xml:space="preserve">/GOOS would like to discuss the practicalities surrounding a potential wider roll-out of </w:t>
      </w:r>
      <w:proofErr w:type="spellStart"/>
      <w:r>
        <w:t>metocean</w:t>
      </w:r>
      <w:proofErr w:type="spellEnd"/>
      <w:r>
        <w:t xml:space="preserve"> data collection from IALA AtoN</w:t>
      </w:r>
      <w:r w:rsidR="00E72A89">
        <w:t xml:space="preserve"> </w:t>
      </w:r>
      <w:r>
        <w:t xml:space="preserve">with </w:t>
      </w:r>
      <w:proofErr w:type="gramStart"/>
      <w:r>
        <w:t>particular emphasis</w:t>
      </w:r>
      <w:proofErr w:type="gramEnd"/>
      <w:r>
        <w:t xml:space="preserve"> on building capacity in developing nations.</w:t>
      </w:r>
    </w:p>
    <w:p w14:paraId="6F99BA8B" w14:textId="77777777" w:rsidR="009A1DCF" w:rsidRDefault="009A1DCF" w:rsidP="00A80BBA">
      <w:pPr>
        <w:pStyle w:val="Heading1"/>
        <w:ind w:left="357" w:hanging="357"/>
      </w:pPr>
      <w:r>
        <w:t>Action requested</w:t>
      </w:r>
    </w:p>
    <w:p w14:paraId="1492D34A" w14:textId="6FF07E18" w:rsidR="00440F4D" w:rsidRDefault="009A1DCF" w:rsidP="00440F4D">
      <w:pPr>
        <w:pStyle w:val="BodyText"/>
      </w:pPr>
      <w:r>
        <w:t xml:space="preserve">The </w:t>
      </w:r>
      <w:r w:rsidR="00440F4D">
        <w:t xml:space="preserve">ENG </w:t>
      </w:r>
      <w:r>
        <w:t>Committee is</w:t>
      </w:r>
      <w:r w:rsidR="00292013">
        <w:t xml:space="preserve"> invited to</w:t>
      </w:r>
      <w:r>
        <w:t xml:space="preserve"> </w:t>
      </w:r>
      <w:r w:rsidR="004978B6">
        <w:t>note th</w:t>
      </w:r>
      <w:r w:rsidR="00292013">
        <w:t>is</w:t>
      </w:r>
      <w:r w:rsidR="004978B6">
        <w:t xml:space="preserve"> information and </w:t>
      </w:r>
      <w:proofErr w:type="gramStart"/>
      <w:r w:rsidR="00440F4D">
        <w:t xml:space="preserve">take </w:t>
      </w:r>
      <w:r w:rsidR="00B51082">
        <w:t>action</w:t>
      </w:r>
      <w:proofErr w:type="gramEnd"/>
      <w:r w:rsidR="00B51082">
        <w:t xml:space="preserve"> as found appropriate.</w:t>
      </w:r>
    </w:p>
    <w:p w14:paraId="656132ED" w14:textId="77777777" w:rsidR="00440F4D" w:rsidRPr="00440F4D" w:rsidRDefault="00440F4D" w:rsidP="00440F4D">
      <w:pPr>
        <w:pStyle w:val="BodyText"/>
      </w:pPr>
    </w:p>
    <w:sectPr w:rsidR="00440F4D" w:rsidRPr="00440F4D">
      <w:headerReference w:type="even" r:id="rId7"/>
      <w:head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06AB2E" w14:textId="77777777" w:rsidR="00DD5DB7" w:rsidRDefault="00DD5DB7" w:rsidP="00795569">
      <w:pPr>
        <w:spacing w:after="0" w:line="240" w:lineRule="auto"/>
      </w:pPr>
      <w:r>
        <w:separator/>
      </w:r>
    </w:p>
  </w:endnote>
  <w:endnote w:type="continuationSeparator" w:id="0">
    <w:p w14:paraId="5875487F" w14:textId="77777777" w:rsidR="00DD5DB7" w:rsidRDefault="00DD5DB7" w:rsidP="0079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EE57F" w14:textId="77777777" w:rsidR="00DD5DB7" w:rsidRDefault="00DD5DB7" w:rsidP="00795569">
      <w:pPr>
        <w:spacing w:after="0" w:line="240" w:lineRule="auto"/>
      </w:pPr>
      <w:r>
        <w:separator/>
      </w:r>
    </w:p>
  </w:footnote>
  <w:footnote w:type="continuationSeparator" w:id="0">
    <w:p w14:paraId="1898CF47" w14:textId="77777777" w:rsidR="00DD5DB7" w:rsidRDefault="00DD5DB7" w:rsidP="00795569">
      <w:pPr>
        <w:spacing w:after="0" w:line="240" w:lineRule="auto"/>
      </w:pPr>
      <w:r>
        <w:continuationSeparator/>
      </w:r>
    </w:p>
  </w:footnote>
  <w:footnote w:id="1">
    <w:p w14:paraId="689C552F" w14:textId="77777777" w:rsidR="009C3064" w:rsidRPr="007055E4" w:rsidRDefault="009C3064" w:rsidP="009C3064">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507CD067" w14:textId="77777777" w:rsidR="009C3064" w:rsidRPr="00037DF4" w:rsidRDefault="009C3064" w:rsidP="009C306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0A5E1" w14:textId="6F61EF0F" w:rsidR="004A18CB" w:rsidRDefault="00DD5DB7">
    <w:pPr>
      <w:pStyle w:val="Header"/>
    </w:pPr>
    <w:r>
      <w:rPr>
        <w:noProof/>
      </w:rPr>
      <w:pict w14:anchorId="69DA1B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1376" o:spid="_x0000_s2051" type="#_x0000_t136" alt="" style="position:absolute;margin-left:0;margin-top:0;width:565.55pt;height:70.6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62DC5" w14:textId="41402955" w:rsidR="009C3064" w:rsidRDefault="00DD5DB7">
    <w:pPr>
      <w:pStyle w:val="Header"/>
    </w:pPr>
    <w:r>
      <w:rPr>
        <w:noProof/>
      </w:rPr>
      <w:pict w14:anchorId="423333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1377" o:spid="_x0000_s2050" type="#_x0000_t136" alt="" style="position:absolute;margin-left:0;margin-top:0;width:565.55pt;height:70.65pt;rotation:315;z-index:-25165107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IALA working document"/>
          <w10:wrap anchorx="margin" anchory="margin"/>
        </v:shape>
      </w:pict>
    </w:r>
    <w:r w:rsidR="009C3064">
      <w:rPr>
        <w:noProof/>
        <w:lang w:val="en-IE" w:eastAsia="en-IE"/>
      </w:rPr>
      <w:drawing>
        <wp:anchor distT="0" distB="0" distL="114300" distR="114300" simplePos="0" relativeHeight="251659264" behindDoc="0" locked="0" layoutInCell="1" allowOverlap="1" wp14:anchorId="136DAB16" wp14:editId="564018EF">
          <wp:simplePos x="0" y="0"/>
          <wp:positionH relativeFrom="column">
            <wp:posOffset>2490470</wp:posOffset>
          </wp:positionH>
          <wp:positionV relativeFrom="paragraph">
            <wp:posOffset>-236220</wp:posOffset>
          </wp:positionV>
          <wp:extent cx="852170" cy="83058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170" cy="830580"/>
                  </a:xfrm>
                  <a:prstGeom prst="rect">
                    <a:avLst/>
                  </a:prstGeom>
                </pic:spPr>
              </pic:pic>
            </a:graphicData>
          </a:graphic>
        </wp:anchor>
      </w:drawing>
    </w:r>
  </w:p>
  <w:p w14:paraId="5E96C4FE" w14:textId="77777777" w:rsidR="009C3064" w:rsidRDefault="009C3064">
    <w:pPr>
      <w:pStyle w:val="Header"/>
    </w:pPr>
  </w:p>
  <w:p w14:paraId="29C20BBC" w14:textId="77777777" w:rsidR="009C3064" w:rsidRDefault="009C3064">
    <w:pPr>
      <w:pStyle w:val="Header"/>
    </w:pPr>
  </w:p>
  <w:p w14:paraId="6E7BC013" w14:textId="52088438" w:rsidR="009C3064" w:rsidRDefault="009C30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8C3F0" w14:textId="74A1BCE5" w:rsidR="004A18CB" w:rsidRDefault="00DD5DB7">
    <w:pPr>
      <w:pStyle w:val="Header"/>
    </w:pPr>
    <w:r>
      <w:rPr>
        <w:noProof/>
      </w:rPr>
      <w:pict w14:anchorId="5678D5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61375" o:spid="_x0000_s2049" type="#_x0000_t136" alt="" style="position:absolute;margin-left:0;margin-top:0;width:565.55pt;height:70.6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92FA9"/>
    <w:multiLevelType w:val="hybridMultilevel"/>
    <w:tmpl w:val="D14CED8C"/>
    <w:lvl w:ilvl="0" w:tplc="59C09814">
      <w:start w:val="1"/>
      <w:numFmt w:val="lowerRoman"/>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1465EA7"/>
    <w:multiLevelType w:val="hybridMultilevel"/>
    <w:tmpl w:val="EE607B6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35F95473"/>
    <w:multiLevelType w:val="hybridMultilevel"/>
    <w:tmpl w:val="0C06A7A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6BFC5DFD"/>
    <w:multiLevelType w:val="hybridMultilevel"/>
    <w:tmpl w:val="16C02530"/>
    <w:lvl w:ilvl="0" w:tplc="59C09814">
      <w:start w:val="1"/>
      <w:numFmt w:val="lowerRoman"/>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725B5A2D"/>
    <w:multiLevelType w:val="hybridMultilevel"/>
    <w:tmpl w:val="906ACBFA"/>
    <w:lvl w:ilvl="0" w:tplc="59C09814">
      <w:start w:val="1"/>
      <w:numFmt w:val="lowerRoman"/>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569"/>
    <w:rsid w:val="00060316"/>
    <w:rsid w:val="00194367"/>
    <w:rsid w:val="001B53A1"/>
    <w:rsid w:val="001F13EC"/>
    <w:rsid w:val="0024413F"/>
    <w:rsid w:val="00292013"/>
    <w:rsid w:val="002F7E05"/>
    <w:rsid w:val="0033082E"/>
    <w:rsid w:val="0033644D"/>
    <w:rsid w:val="00362D39"/>
    <w:rsid w:val="00386478"/>
    <w:rsid w:val="003B4FA6"/>
    <w:rsid w:val="003B6481"/>
    <w:rsid w:val="00440F4D"/>
    <w:rsid w:val="004978B6"/>
    <w:rsid w:val="004A18CB"/>
    <w:rsid w:val="005A3A87"/>
    <w:rsid w:val="006321CC"/>
    <w:rsid w:val="00670F72"/>
    <w:rsid w:val="006A408F"/>
    <w:rsid w:val="006F0EF7"/>
    <w:rsid w:val="00795569"/>
    <w:rsid w:val="007D2E79"/>
    <w:rsid w:val="007D3C14"/>
    <w:rsid w:val="007E36B9"/>
    <w:rsid w:val="007F126B"/>
    <w:rsid w:val="00801793"/>
    <w:rsid w:val="00892894"/>
    <w:rsid w:val="009A1DCF"/>
    <w:rsid w:val="009C3064"/>
    <w:rsid w:val="00A304D5"/>
    <w:rsid w:val="00A66030"/>
    <w:rsid w:val="00A80BBA"/>
    <w:rsid w:val="00AA5283"/>
    <w:rsid w:val="00AA7AA6"/>
    <w:rsid w:val="00AC3C2A"/>
    <w:rsid w:val="00B34958"/>
    <w:rsid w:val="00B51082"/>
    <w:rsid w:val="00B53818"/>
    <w:rsid w:val="00B64F35"/>
    <w:rsid w:val="00B807CC"/>
    <w:rsid w:val="00CB1668"/>
    <w:rsid w:val="00D5540B"/>
    <w:rsid w:val="00DC0502"/>
    <w:rsid w:val="00DD5DB7"/>
    <w:rsid w:val="00E72A89"/>
    <w:rsid w:val="00F20194"/>
    <w:rsid w:val="00F53E65"/>
    <w:rsid w:val="00FB008B"/>
    <w:rsid w:val="00FC378A"/>
    <w:rsid w:val="00FC5A1F"/>
    <w:rsid w:val="00FD6C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DAEF5E9"/>
  <w15:chartTrackingRefBased/>
  <w15:docId w15:val="{3AD084BE-8A4A-41D4-ADAB-2822AAE40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BodyText"/>
    <w:link w:val="Heading1Char"/>
    <w:qFormat/>
    <w:rsid w:val="009A1DCF"/>
    <w:pPr>
      <w:keepNext/>
      <w:spacing w:before="240" w:after="240" w:line="240" w:lineRule="auto"/>
      <w:outlineLvl w:val="0"/>
    </w:pPr>
    <w:rPr>
      <w:rFonts w:ascii="Calibri" w:eastAsia="Calibri" w:hAnsi="Calibri" w:cs="Calibri"/>
      <w:b/>
      <w:caps/>
      <w:color w:val="0070C0"/>
      <w:kern w:val="28"/>
      <w:lang w:eastAsia="de-DE"/>
    </w:rPr>
  </w:style>
  <w:style w:type="paragraph" w:styleId="Heading2">
    <w:name w:val="heading 2"/>
    <w:basedOn w:val="Normal"/>
    <w:next w:val="Normal"/>
    <w:link w:val="Heading2Char"/>
    <w:uiPriority w:val="9"/>
    <w:unhideWhenUsed/>
    <w:qFormat/>
    <w:rsid w:val="009A1DC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Web"/>
    <w:next w:val="Normal"/>
    <w:link w:val="TableChar"/>
    <w:qFormat/>
    <w:rsid w:val="00D5540B"/>
    <w:pPr>
      <w:spacing w:after="0" w:line="240" w:lineRule="auto"/>
      <w:jc w:val="center"/>
    </w:pPr>
    <w:rPr>
      <w:rFonts w:eastAsia="Times New Roman"/>
      <w:b/>
      <w:i/>
      <w:lang w:eastAsia="en-GB"/>
    </w:rPr>
  </w:style>
  <w:style w:type="character" w:customStyle="1" w:styleId="TableChar">
    <w:name w:val="Table Char"/>
    <w:basedOn w:val="DefaultParagraphFont"/>
    <w:link w:val="Table"/>
    <w:rsid w:val="00D5540B"/>
    <w:rPr>
      <w:rFonts w:ascii="Times New Roman" w:eastAsia="Times New Roman" w:hAnsi="Times New Roman" w:cs="Times New Roman"/>
      <w:b/>
      <w:i/>
      <w:sz w:val="24"/>
      <w:szCs w:val="24"/>
      <w:lang w:eastAsia="en-GB"/>
    </w:rPr>
  </w:style>
  <w:style w:type="paragraph" w:styleId="NormalWeb">
    <w:name w:val="Normal (Web)"/>
    <w:basedOn w:val="Normal"/>
    <w:uiPriority w:val="99"/>
    <w:semiHidden/>
    <w:unhideWhenUsed/>
    <w:rsid w:val="00D5540B"/>
    <w:rPr>
      <w:rFonts w:ascii="Times New Roman" w:hAnsi="Times New Roman" w:cs="Times New Roman"/>
      <w:sz w:val="24"/>
      <w:szCs w:val="24"/>
    </w:rPr>
  </w:style>
  <w:style w:type="paragraph" w:customStyle="1" w:styleId="Figure">
    <w:name w:val="Figure_#"/>
    <w:basedOn w:val="Normal"/>
    <w:next w:val="Normal"/>
    <w:autoRedefine/>
    <w:qFormat/>
    <w:rsid w:val="00AA7AA6"/>
    <w:pPr>
      <w:spacing w:before="120" w:after="120" w:line="240" w:lineRule="auto"/>
      <w:jc w:val="center"/>
    </w:pPr>
    <w:rPr>
      <w:rFonts w:eastAsia="Calibri" w:cs="Calibri"/>
      <w:i/>
      <w:szCs w:val="20"/>
      <w:lang w:eastAsia="en-GB"/>
    </w:rPr>
  </w:style>
  <w:style w:type="paragraph" w:styleId="Header">
    <w:name w:val="header"/>
    <w:basedOn w:val="Normal"/>
    <w:link w:val="HeaderChar"/>
    <w:unhideWhenUsed/>
    <w:rsid w:val="00795569"/>
    <w:pPr>
      <w:tabs>
        <w:tab w:val="center" w:pos="4513"/>
        <w:tab w:val="right" w:pos="9026"/>
      </w:tabs>
      <w:spacing w:after="0" w:line="240" w:lineRule="auto"/>
    </w:pPr>
  </w:style>
  <w:style w:type="character" w:customStyle="1" w:styleId="HeaderChar">
    <w:name w:val="Header Char"/>
    <w:basedOn w:val="DefaultParagraphFont"/>
    <w:link w:val="Header"/>
    <w:rsid w:val="00795569"/>
  </w:style>
  <w:style w:type="paragraph" w:styleId="Footer">
    <w:name w:val="footer"/>
    <w:basedOn w:val="Normal"/>
    <w:link w:val="FooterChar"/>
    <w:uiPriority w:val="99"/>
    <w:unhideWhenUsed/>
    <w:rsid w:val="007955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5569"/>
  </w:style>
  <w:style w:type="paragraph" w:styleId="BodyText">
    <w:name w:val="Body Text"/>
    <w:basedOn w:val="Normal"/>
    <w:link w:val="BodyTextChar"/>
    <w:qFormat/>
    <w:rsid w:val="009C3064"/>
    <w:pPr>
      <w:spacing w:after="120" w:line="240" w:lineRule="auto"/>
      <w:jc w:val="both"/>
    </w:pPr>
    <w:rPr>
      <w:rFonts w:ascii="Calibri" w:eastAsia="Calibri" w:hAnsi="Calibri" w:cs="Calibri"/>
      <w:lang w:eastAsia="en-GB"/>
    </w:rPr>
  </w:style>
  <w:style w:type="character" w:customStyle="1" w:styleId="BodyTextChar">
    <w:name w:val="Body Text Char"/>
    <w:basedOn w:val="DefaultParagraphFont"/>
    <w:link w:val="BodyText"/>
    <w:rsid w:val="009C3064"/>
    <w:rPr>
      <w:rFonts w:ascii="Calibri" w:eastAsia="Calibri" w:hAnsi="Calibri" w:cs="Calibri"/>
      <w:lang w:eastAsia="en-GB"/>
    </w:rPr>
  </w:style>
  <w:style w:type="character" w:styleId="FootnoteReference">
    <w:name w:val="footnote reference"/>
    <w:semiHidden/>
    <w:rsid w:val="009C3064"/>
    <w:rPr>
      <w:rFonts w:ascii="Arial" w:hAnsi="Arial"/>
      <w:sz w:val="16"/>
    </w:rPr>
  </w:style>
  <w:style w:type="paragraph" w:styleId="FootnoteText">
    <w:name w:val="footnote text"/>
    <w:basedOn w:val="Normal"/>
    <w:link w:val="FootnoteTextChar"/>
    <w:semiHidden/>
    <w:rsid w:val="009C3064"/>
    <w:pPr>
      <w:spacing w:after="0" w:line="240" w:lineRule="auto"/>
    </w:pPr>
    <w:rPr>
      <w:rFonts w:ascii="Arial" w:eastAsia="Calibri" w:hAnsi="Arial" w:cs="Calibri"/>
      <w:sz w:val="20"/>
      <w:szCs w:val="20"/>
      <w:lang w:eastAsia="en-GB"/>
    </w:rPr>
  </w:style>
  <w:style w:type="character" w:customStyle="1" w:styleId="FootnoteTextChar">
    <w:name w:val="Footnote Text Char"/>
    <w:basedOn w:val="DefaultParagraphFont"/>
    <w:link w:val="FootnoteText"/>
    <w:semiHidden/>
    <w:rsid w:val="009C3064"/>
    <w:rPr>
      <w:rFonts w:ascii="Arial" w:eastAsia="Calibri" w:hAnsi="Arial" w:cs="Calibri"/>
      <w:sz w:val="20"/>
      <w:szCs w:val="20"/>
      <w:lang w:eastAsia="en-GB"/>
    </w:rPr>
  </w:style>
  <w:style w:type="paragraph" w:styleId="Title">
    <w:name w:val="Title"/>
    <w:basedOn w:val="Normal"/>
    <w:link w:val="TitleChar"/>
    <w:qFormat/>
    <w:rsid w:val="009C3064"/>
    <w:pPr>
      <w:spacing w:before="120" w:after="240" w:line="240" w:lineRule="auto"/>
      <w:jc w:val="center"/>
      <w:outlineLvl w:val="0"/>
    </w:pPr>
    <w:rPr>
      <w:rFonts w:eastAsia="Calibri" w:cs="Arial"/>
      <w:b/>
      <w:bCs/>
      <w:kern w:val="28"/>
      <w:sz w:val="32"/>
      <w:szCs w:val="32"/>
      <w:lang w:eastAsia="en-GB"/>
    </w:rPr>
  </w:style>
  <w:style w:type="character" w:customStyle="1" w:styleId="TitleChar">
    <w:name w:val="Title Char"/>
    <w:basedOn w:val="DefaultParagraphFont"/>
    <w:link w:val="Title"/>
    <w:rsid w:val="009C3064"/>
    <w:rPr>
      <w:rFonts w:eastAsia="Calibri" w:cs="Arial"/>
      <w:b/>
      <w:bCs/>
      <w:kern w:val="28"/>
      <w:sz w:val="32"/>
      <w:szCs w:val="32"/>
      <w:lang w:eastAsia="en-GB"/>
    </w:rPr>
  </w:style>
  <w:style w:type="character" w:customStyle="1" w:styleId="Heading2Char">
    <w:name w:val="Heading 2 Char"/>
    <w:basedOn w:val="DefaultParagraphFont"/>
    <w:link w:val="Heading2"/>
    <w:uiPriority w:val="9"/>
    <w:rsid w:val="009A1DC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rsid w:val="009A1DCF"/>
    <w:rPr>
      <w:rFonts w:ascii="Calibri" w:eastAsia="Calibri" w:hAnsi="Calibri" w:cs="Calibri"/>
      <w:b/>
      <w:caps/>
      <w:color w:val="0070C0"/>
      <w:kern w:val="28"/>
      <w:lang w:eastAsia="de-DE"/>
    </w:rPr>
  </w:style>
  <w:style w:type="character" w:styleId="Hyperlink">
    <w:name w:val="Hyperlink"/>
    <w:basedOn w:val="DefaultParagraphFont"/>
    <w:uiPriority w:val="99"/>
    <w:unhideWhenUsed/>
    <w:rsid w:val="00F20194"/>
    <w:rPr>
      <w:color w:val="0563C1" w:themeColor="hyperlink"/>
      <w:u w:val="single"/>
    </w:rPr>
  </w:style>
  <w:style w:type="character" w:styleId="UnresolvedMention">
    <w:name w:val="Unresolved Mention"/>
    <w:basedOn w:val="DefaultParagraphFont"/>
    <w:uiPriority w:val="99"/>
    <w:semiHidden/>
    <w:unhideWhenUsed/>
    <w:rsid w:val="00F20194"/>
    <w:rPr>
      <w:color w:val="605E5C"/>
      <w:shd w:val="clear" w:color="auto" w:fill="E1DFDD"/>
    </w:rPr>
  </w:style>
  <w:style w:type="paragraph" w:styleId="ListParagraph">
    <w:name w:val="List Paragraph"/>
    <w:basedOn w:val="Normal"/>
    <w:uiPriority w:val="34"/>
    <w:qFormat/>
    <w:rsid w:val="00336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5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2705</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REGIONS AT THE POLES – input paper to arm</vt:lpstr>
      <vt:lpstr>IALA REGIONS AT THE POLES – input paper to arm</vt:lpstr>
    </vt:vector>
  </TitlesOfParts>
  <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REGIONS AT THE POLES – input paper to arm</dc:title>
  <dc:subject/>
  <dc:creator>Stephen Bennett</dc:creator>
  <cp:keywords/>
  <dc:description/>
  <cp:lastModifiedBy>Omar Eriksson</cp:lastModifiedBy>
  <cp:revision>2</cp:revision>
  <dcterms:created xsi:type="dcterms:W3CDTF">2019-02-28T16:47:00Z</dcterms:created>
  <dcterms:modified xsi:type="dcterms:W3CDTF">2019-02-28T16:47:00Z</dcterms:modified>
</cp:coreProperties>
</file>